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3096"/>
        <w:gridCol w:w="3095"/>
        <w:gridCol w:w="3097"/>
      </w:tblGrid>
      <w:tr w:rsidR="002A29EB" w:rsidRPr="00CC6B16" w:rsidTr="005C1AFC">
        <w:trPr>
          <w:trHeight w:val="2129"/>
        </w:trPr>
        <w:tc>
          <w:tcPr>
            <w:tcW w:w="1666" w:type="pct"/>
            <w:shd w:val="clear" w:color="auto" w:fill="auto"/>
          </w:tcPr>
          <w:p w:rsidR="002A29EB" w:rsidRPr="00CC6B16" w:rsidRDefault="002A29EB" w:rsidP="005C1AFC">
            <w:pPr>
              <w:autoSpaceDE w:val="0"/>
              <w:autoSpaceDN w:val="0"/>
              <w:adjustRightInd w:val="0"/>
              <w:rPr>
                <w:sz w:val="20"/>
                <w:szCs w:val="20"/>
                <w:lang w:val="en-US"/>
              </w:rPr>
            </w:pPr>
            <w:r w:rsidRPr="00CC6B16">
              <w:rPr>
                <w:rFonts w:ascii="Arial Narrow" w:hAnsi="Arial Narrow"/>
                <w:b/>
                <w:bCs/>
                <w:noProof/>
                <w:spacing w:val="2"/>
                <w:sz w:val="40"/>
                <w:szCs w:val="40"/>
              </w:rPr>
              <w:drawing>
                <wp:inline distT="0" distB="0" distL="0" distR="0">
                  <wp:extent cx="714375" cy="1028700"/>
                  <wp:effectExtent l="0" t="0" r="9525" b="0"/>
                  <wp:docPr id="2" name="Image 2" descr="logo_arbre_sans_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rbre_sans_tex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1028700"/>
                          </a:xfrm>
                          <a:prstGeom prst="rect">
                            <a:avLst/>
                          </a:prstGeom>
                          <a:noFill/>
                          <a:ln>
                            <a:noFill/>
                          </a:ln>
                        </pic:spPr>
                      </pic:pic>
                    </a:graphicData>
                  </a:graphic>
                </wp:inline>
              </w:drawing>
            </w:r>
          </w:p>
        </w:tc>
        <w:tc>
          <w:tcPr>
            <w:tcW w:w="1666" w:type="pct"/>
            <w:shd w:val="clear" w:color="auto" w:fill="auto"/>
          </w:tcPr>
          <w:p w:rsidR="002A29EB" w:rsidRPr="001121A7" w:rsidRDefault="002A29EB" w:rsidP="005C1AFC">
            <w:pPr>
              <w:autoSpaceDE w:val="0"/>
              <w:autoSpaceDN w:val="0"/>
              <w:adjustRightInd w:val="0"/>
              <w:spacing w:before="37"/>
              <w:ind w:right="-20"/>
              <w:jc w:val="center"/>
              <w:rPr>
                <w:rFonts w:ascii="Arial Narrow" w:hAnsi="Arial Narrow"/>
                <w:b/>
                <w:bCs/>
                <w:spacing w:val="23"/>
                <w:szCs w:val="40"/>
                <w:lang w:val="en-US"/>
              </w:rPr>
            </w:pPr>
            <w:proofErr w:type="spellStart"/>
            <w:r w:rsidRPr="001121A7">
              <w:rPr>
                <w:rFonts w:ascii="Arial Narrow" w:hAnsi="Arial Narrow"/>
                <w:b/>
                <w:bCs/>
                <w:spacing w:val="2"/>
                <w:szCs w:val="40"/>
                <w:lang w:val="en-US"/>
              </w:rPr>
              <w:t>La</w:t>
            </w:r>
            <w:r w:rsidRPr="001121A7">
              <w:rPr>
                <w:rFonts w:ascii="Arial Narrow" w:hAnsi="Arial Narrow"/>
                <w:b/>
                <w:bCs/>
                <w:szCs w:val="40"/>
                <w:lang w:val="en-US"/>
              </w:rPr>
              <w:t>boratoire</w:t>
            </w:r>
            <w:proofErr w:type="spellEnd"/>
            <w:r w:rsidRPr="001121A7">
              <w:rPr>
                <w:rFonts w:ascii="Arial Narrow" w:hAnsi="Arial Narrow"/>
                <w:b/>
                <w:bCs/>
                <w:szCs w:val="40"/>
                <w:lang w:val="en-US"/>
              </w:rPr>
              <w:t> </w:t>
            </w:r>
            <w:proofErr w:type="spellStart"/>
            <w:r w:rsidRPr="001121A7">
              <w:rPr>
                <w:rFonts w:ascii="Arial Narrow" w:hAnsi="Arial Narrow"/>
                <w:b/>
                <w:bCs/>
                <w:szCs w:val="40"/>
                <w:lang w:val="en-US"/>
              </w:rPr>
              <w:t>d’</w:t>
            </w:r>
            <w:r w:rsidRPr="001121A7">
              <w:rPr>
                <w:rFonts w:ascii="Arial Narrow" w:hAnsi="Arial Narrow"/>
                <w:b/>
                <w:bCs/>
                <w:spacing w:val="3"/>
                <w:szCs w:val="40"/>
                <w:lang w:val="en-US"/>
              </w:rPr>
              <w:t>E</w:t>
            </w:r>
            <w:r w:rsidRPr="001121A7">
              <w:rPr>
                <w:rFonts w:ascii="Arial Narrow" w:hAnsi="Arial Narrow"/>
                <w:b/>
                <w:bCs/>
                <w:spacing w:val="2"/>
                <w:szCs w:val="40"/>
                <w:lang w:val="en-US"/>
              </w:rPr>
              <w:t>xce</w:t>
            </w:r>
            <w:r w:rsidRPr="001121A7">
              <w:rPr>
                <w:rFonts w:ascii="Arial Narrow" w:hAnsi="Arial Narrow"/>
                <w:b/>
                <w:bCs/>
                <w:spacing w:val="1"/>
                <w:szCs w:val="40"/>
                <w:lang w:val="en-US"/>
              </w:rPr>
              <w:t>ll</w:t>
            </w:r>
            <w:r w:rsidRPr="001121A7">
              <w:rPr>
                <w:rFonts w:ascii="Arial Narrow" w:hAnsi="Arial Narrow"/>
                <w:b/>
                <w:bCs/>
                <w:spacing w:val="2"/>
                <w:szCs w:val="40"/>
                <w:lang w:val="en-US"/>
              </w:rPr>
              <w:t>enc</w:t>
            </w:r>
            <w:r w:rsidRPr="001121A7">
              <w:rPr>
                <w:rFonts w:ascii="Arial Narrow" w:hAnsi="Arial Narrow"/>
                <w:b/>
                <w:bCs/>
                <w:szCs w:val="40"/>
                <w:lang w:val="en-US"/>
              </w:rPr>
              <w:t>e</w:t>
            </w:r>
            <w:proofErr w:type="spellEnd"/>
          </w:p>
          <w:p w:rsidR="002A29EB" w:rsidRPr="001121A7" w:rsidRDefault="002A29EB" w:rsidP="005C1AFC">
            <w:pPr>
              <w:autoSpaceDE w:val="0"/>
              <w:autoSpaceDN w:val="0"/>
              <w:adjustRightInd w:val="0"/>
              <w:jc w:val="center"/>
              <w:rPr>
                <w:rFonts w:ascii="Arial Narrow" w:hAnsi="Arial Narrow"/>
                <w:b/>
                <w:bCs/>
                <w:w w:val="102"/>
                <w:szCs w:val="40"/>
                <w:lang w:val="en-US"/>
              </w:rPr>
            </w:pPr>
            <w:r w:rsidRPr="001121A7">
              <w:rPr>
                <w:rFonts w:ascii="Arial Narrow" w:hAnsi="Arial Narrow"/>
                <w:b/>
                <w:bCs/>
                <w:spacing w:val="3"/>
                <w:w w:val="102"/>
                <w:szCs w:val="40"/>
                <w:lang w:val="en-US"/>
              </w:rPr>
              <w:t>ARBR</w:t>
            </w:r>
            <w:r w:rsidRPr="001121A7">
              <w:rPr>
                <w:rFonts w:ascii="Arial Narrow" w:hAnsi="Arial Narrow"/>
                <w:b/>
                <w:bCs/>
                <w:w w:val="102"/>
                <w:szCs w:val="40"/>
                <w:lang w:val="en-US"/>
              </w:rPr>
              <w:t>E</w:t>
            </w:r>
          </w:p>
          <w:p w:rsidR="002A29EB" w:rsidRPr="001121A7" w:rsidRDefault="002A29EB" w:rsidP="005C1AFC">
            <w:pPr>
              <w:autoSpaceDE w:val="0"/>
              <w:autoSpaceDN w:val="0"/>
              <w:adjustRightInd w:val="0"/>
              <w:jc w:val="center"/>
              <w:rPr>
                <w:rFonts w:ascii="Arial Narrow" w:hAnsi="Arial Narrow"/>
                <w:b/>
                <w:bCs/>
                <w:w w:val="102"/>
                <w:szCs w:val="40"/>
                <w:lang w:val="en-US"/>
              </w:rPr>
            </w:pPr>
          </w:p>
          <w:p w:rsidR="002A29EB" w:rsidRDefault="002A29EB" w:rsidP="005C1AFC">
            <w:pPr>
              <w:autoSpaceDE w:val="0"/>
              <w:autoSpaceDN w:val="0"/>
              <w:adjustRightInd w:val="0"/>
              <w:spacing w:before="8"/>
              <w:ind w:left="102" w:right="-20"/>
              <w:jc w:val="center"/>
              <w:rPr>
                <w:rFonts w:ascii="Arial Narrow" w:hAnsi="Arial Narrow"/>
                <w:i/>
                <w:iCs/>
                <w:w w:val="102"/>
                <w:szCs w:val="28"/>
                <w:lang w:val="en-US"/>
              </w:rPr>
            </w:pPr>
            <w:r w:rsidRPr="001121A7">
              <w:rPr>
                <w:rFonts w:ascii="Arial Narrow" w:hAnsi="Arial Narrow"/>
                <w:b/>
                <w:bCs/>
                <w:i/>
                <w:iCs/>
                <w:spacing w:val="3"/>
                <w:szCs w:val="28"/>
                <w:lang w:val="en-US"/>
              </w:rPr>
              <w:t>A</w:t>
            </w:r>
            <w:r w:rsidRPr="001121A7">
              <w:rPr>
                <w:rFonts w:ascii="Arial Narrow" w:hAnsi="Arial Narrow"/>
                <w:i/>
                <w:iCs/>
                <w:spacing w:val="2"/>
                <w:szCs w:val="28"/>
                <w:lang w:val="en-US"/>
              </w:rPr>
              <w:t>dvance</w:t>
            </w:r>
            <w:r w:rsidRPr="001121A7">
              <w:rPr>
                <w:rFonts w:ascii="Arial Narrow" w:hAnsi="Arial Narrow"/>
                <w:i/>
                <w:iCs/>
                <w:szCs w:val="28"/>
                <w:lang w:val="en-US"/>
              </w:rPr>
              <w:t>d</w:t>
            </w:r>
            <w:r w:rsidRPr="001121A7">
              <w:rPr>
                <w:rFonts w:ascii="Arial Narrow" w:hAnsi="Arial Narrow"/>
                <w:i/>
                <w:iCs/>
                <w:spacing w:val="21"/>
                <w:szCs w:val="28"/>
                <w:lang w:val="en-US"/>
              </w:rPr>
              <w:t xml:space="preserve"> </w:t>
            </w:r>
            <w:r w:rsidRPr="001121A7">
              <w:rPr>
                <w:rFonts w:ascii="Arial Narrow" w:hAnsi="Arial Narrow"/>
                <w:b/>
                <w:bCs/>
                <w:i/>
                <w:iCs/>
                <w:spacing w:val="3"/>
                <w:szCs w:val="28"/>
                <w:lang w:val="en-US"/>
              </w:rPr>
              <w:t>R</w:t>
            </w:r>
            <w:r w:rsidRPr="001121A7">
              <w:rPr>
                <w:rFonts w:ascii="Arial Narrow" w:hAnsi="Arial Narrow"/>
                <w:i/>
                <w:iCs/>
                <w:spacing w:val="2"/>
                <w:szCs w:val="28"/>
                <w:lang w:val="en-US"/>
              </w:rPr>
              <w:t>esea</w:t>
            </w:r>
            <w:r w:rsidRPr="001121A7">
              <w:rPr>
                <w:rFonts w:ascii="Arial Narrow" w:hAnsi="Arial Narrow"/>
                <w:i/>
                <w:iCs/>
                <w:spacing w:val="1"/>
                <w:szCs w:val="28"/>
                <w:lang w:val="en-US"/>
              </w:rPr>
              <w:t>r</w:t>
            </w:r>
            <w:r w:rsidRPr="001121A7">
              <w:rPr>
                <w:rFonts w:ascii="Arial Narrow" w:hAnsi="Arial Narrow"/>
                <w:i/>
                <w:iCs/>
                <w:spacing w:val="2"/>
                <w:szCs w:val="28"/>
                <w:lang w:val="en-US"/>
              </w:rPr>
              <w:t>c</w:t>
            </w:r>
            <w:r w:rsidRPr="001121A7">
              <w:rPr>
                <w:rFonts w:ascii="Arial Narrow" w:hAnsi="Arial Narrow"/>
                <w:i/>
                <w:iCs/>
                <w:szCs w:val="28"/>
                <w:lang w:val="en-US"/>
              </w:rPr>
              <w:t>h</w:t>
            </w:r>
            <w:r w:rsidRPr="001121A7">
              <w:rPr>
                <w:rFonts w:ascii="Arial Narrow" w:hAnsi="Arial Narrow"/>
                <w:i/>
                <w:iCs/>
                <w:spacing w:val="20"/>
                <w:szCs w:val="28"/>
                <w:lang w:val="en-US"/>
              </w:rPr>
              <w:t xml:space="preserve"> </w:t>
            </w:r>
            <w:r w:rsidRPr="001121A7">
              <w:rPr>
                <w:rFonts w:ascii="Arial Narrow" w:hAnsi="Arial Narrow"/>
                <w:i/>
                <w:iCs/>
                <w:spacing w:val="2"/>
                <w:szCs w:val="28"/>
                <w:lang w:val="en-US"/>
              </w:rPr>
              <w:t>o</w:t>
            </w:r>
            <w:r w:rsidRPr="001121A7">
              <w:rPr>
                <w:rFonts w:ascii="Arial Narrow" w:hAnsi="Arial Narrow"/>
                <w:i/>
                <w:iCs/>
                <w:szCs w:val="28"/>
                <w:lang w:val="en-US"/>
              </w:rPr>
              <w:t>n</w:t>
            </w:r>
            <w:r w:rsidRPr="001121A7">
              <w:rPr>
                <w:rFonts w:ascii="Arial Narrow" w:hAnsi="Arial Narrow"/>
                <w:i/>
                <w:iCs/>
                <w:spacing w:val="8"/>
                <w:szCs w:val="28"/>
                <w:lang w:val="en-US"/>
              </w:rPr>
              <w:t xml:space="preserve"> </w:t>
            </w:r>
            <w:r w:rsidRPr="001121A7">
              <w:rPr>
                <w:rFonts w:ascii="Arial Narrow" w:hAnsi="Arial Narrow"/>
                <w:i/>
                <w:iCs/>
                <w:spacing w:val="1"/>
                <w:szCs w:val="28"/>
                <w:lang w:val="en-US"/>
              </w:rPr>
              <w:t>t</w:t>
            </w:r>
            <w:r w:rsidRPr="001121A7">
              <w:rPr>
                <w:rFonts w:ascii="Arial Narrow" w:hAnsi="Arial Narrow"/>
                <w:i/>
                <w:iCs/>
                <w:spacing w:val="2"/>
                <w:szCs w:val="28"/>
                <w:lang w:val="en-US"/>
              </w:rPr>
              <w:t>h</w:t>
            </w:r>
            <w:r w:rsidRPr="001121A7">
              <w:rPr>
                <w:rFonts w:ascii="Arial Narrow" w:hAnsi="Arial Narrow"/>
                <w:i/>
                <w:iCs/>
                <w:szCs w:val="28"/>
                <w:lang w:val="en-US"/>
              </w:rPr>
              <w:t>e</w:t>
            </w:r>
            <w:r w:rsidRPr="001121A7">
              <w:rPr>
                <w:rFonts w:ascii="Arial Narrow" w:hAnsi="Arial Narrow"/>
                <w:i/>
                <w:iCs/>
                <w:spacing w:val="10"/>
                <w:szCs w:val="28"/>
                <w:lang w:val="en-US"/>
              </w:rPr>
              <w:t xml:space="preserve"> </w:t>
            </w:r>
            <w:r w:rsidRPr="001121A7">
              <w:rPr>
                <w:rFonts w:ascii="Arial Narrow" w:hAnsi="Arial Narrow"/>
                <w:b/>
                <w:bCs/>
                <w:i/>
                <w:iCs/>
                <w:spacing w:val="3"/>
                <w:szCs w:val="28"/>
                <w:lang w:val="en-US"/>
              </w:rPr>
              <w:t>B</w:t>
            </w:r>
            <w:r w:rsidRPr="001121A7">
              <w:rPr>
                <w:rFonts w:ascii="Arial Narrow" w:hAnsi="Arial Narrow"/>
                <w:i/>
                <w:iCs/>
                <w:spacing w:val="1"/>
                <w:szCs w:val="28"/>
                <w:lang w:val="en-US"/>
              </w:rPr>
              <w:t>i</w:t>
            </w:r>
            <w:r w:rsidRPr="001121A7">
              <w:rPr>
                <w:rFonts w:ascii="Arial Narrow" w:hAnsi="Arial Narrow"/>
                <w:i/>
                <w:iCs/>
                <w:spacing w:val="2"/>
                <w:szCs w:val="28"/>
                <w:lang w:val="en-US"/>
              </w:rPr>
              <w:t>o</w:t>
            </w:r>
            <w:r w:rsidRPr="001121A7">
              <w:rPr>
                <w:rFonts w:ascii="Arial Narrow" w:hAnsi="Arial Narrow"/>
                <w:i/>
                <w:iCs/>
                <w:spacing w:val="1"/>
                <w:szCs w:val="28"/>
                <w:lang w:val="en-US"/>
              </w:rPr>
              <w:t>l</w:t>
            </w:r>
            <w:r w:rsidRPr="001121A7">
              <w:rPr>
                <w:rFonts w:ascii="Arial Narrow" w:hAnsi="Arial Narrow"/>
                <w:i/>
                <w:iCs/>
                <w:spacing w:val="2"/>
                <w:szCs w:val="28"/>
                <w:lang w:val="en-US"/>
              </w:rPr>
              <w:t>og</w:t>
            </w:r>
            <w:r w:rsidRPr="001121A7">
              <w:rPr>
                <w:rFonts w:ascii="Arial Narrow" w:hAnsi="Arial Narrow"/>
                <w:i/>
                <w:iCs/>
                <w:szCs w:val="28"/>
                <w:lang w:val="en-US"/>
              </w:rPr>
              <w:t>y</w:t>
            </w:r>
            <w:r w:rsidRPr="001121A7">
              <w:rPr>
                <w:rFonts w:ascii="Arial Narrow" w:hAnsi="Arial Narrow"/>
                <w:i/>
                <w:iCs/>
                <w:spacing w:val="17"/>
                <w:szCs w:val="28"/>
                <w:lang w:val="en-US"/>
              </w:rPr>
              <w:t xml:space="preserve"> </w:t>
            </w:r>
            <w:r w:rsidRPr="001121A7">
              <w:rPr>
                <w:rFonts w:ascii="Arial Narrow" w:hAnsi="Arial Narrow"/>
                <w:i/>
                <w:iCs/>
                <w:spacing w:val="2"/>
                <w:szCs w:val="28"/>
                <w:lang w:val="en-US"/>
              </w:rPr>
              <w:t>o</w:t>
            </w:r>
            <w:r w:rsidRPr="001121A7">
              <w:rPr>
                <w:rFonts w:ascii="Arial Narrow" w:hAnsi="Arial Narrow"/>
                <w:i/>
                <w:iCs/>
                <w:szCs w:val="28"/>
                <w:lang w:val="en-US"/>
              </w:rPr>
              <w:t>f</w:t>
            </w:r>
            <w:r w:rsidRPr="001121A7">
              <w:rPr>
                <w:rFonts w:ascii="Arial Narrow" w:hAnsi="Arial Narrow"/>
                <w:i/>
                <w:iCs/>
                <w:spacing w:val="7"/>
                <w:szCs w:val="28"/>
                <w:lang w:val="en-US"/>
              </w:rPr>
              <w:t xml:space="preserve"> </w:t>
            </w:r>
            <w:proofErr w:type="spellStart"/>
            <w:r w:rsidRPr="001121A7">
              <w:rPr>
                <w:rFonts w:ascii="Arial Narrow" w:hAnsi="Arial Narrow"/>
                <w:i/>
                <w:iCs/>
                <w:spacing w:val="2"/>
                <w:szCs w:val="28"/>
                <w:lang w:val="en-US"/>
              </w:rPr>
              <w:t>T</w:t>
            </w:r>
            <w:r w:rsidRPr="001121A7">
              <w:rPr>
                <w:rFonts w:ascii="Arial Narrow" w:hAnsi="Arial Narrow"/>
                <w:b/>
                <w:bCs/>
                <w:i/>
                <w:iCs/>
                <w:spacing w:val="3"/>
                <w:szCs w:val="28"/>
                <w:lang w:val="en-US"/>
              </w:rPr>
              <w:t>R</w:t>
            </w:r>
            <w:r w:rsidRPr="001121A7">
              <w:rPr>
                <w:rFonts w:ascii="Arial Narrow" w:hAnsi="Arial Narrow"/>
                <w:i/>
                <w:iCs/>
                <w:spacing w:val="2"/>
                <w:szCs w:val="28"/>
                <w:lang w:val="en-US"/>
              </w:rPr>
              <w:t>e</w:t>
            </w:r>
            <w:r w:rsidRPr="001121A7">
              <w:rPr>
                <w:rFonts w:ascii="Arial Narrow" w:hAnsi="Arial Narrow"/>
                <w:i/>
                <w:iCs/>
                <w:szCs w:val="28"/>
                <w:lang w:val="en-US"/>
              </w:rPr>
              <w:t>e</w:t>
            </w:r>
            <w:proofErr w:type="spellEnd"/>
            <w:r w:rsidRPr="001121A7">
              <w:rPr>
                <w:rFonts w:ascii="Arial Narrow" w:hAnsi="Arial Narrow"/>
                <w:i/>
                <w:iCs/>
                <w:spacing w:val="13"/>
                <w:szCs w:val="28"/>
                <w:lang w:val="en-US"/>
              </w:rPr>
              <w:t xml:space="preserve"> </w:t>
            </w:r>
            <w:r w:rsidRPr="001121A7">
              <w:rPr>
                <w:rFonts w:ascii="Arial Narrow" w:hAnsi="Arial Narrow"/>
                <w:i/>
                <w:iCs/>
                <w:spacing w:val="2"/>
                <w:szCs w:val="28"/>
                <w:lang w:val="en-US"/>
              </w:rPr>
              <w:t>an</w:t>
            </w:r>
            <w:r w:rsidRPr="001121A7">
              <w:rPr>
                <w:rFonts w:ascii="Arial Narrow" w:hAnsi="Arial Narrow"/>
                <w:i/>
                <w:iCs/>
                <w:szCs w:val="28"/>
                <w:lang w:val="en-US"/>
              </w:rPr>
              <w:t>d</w:t>
            </w:r>
            <w:r w:rsidRPr="001121A7">
              <w:rPr>
                <w:rFonts w:ascii="Arial Narrow" w:hAnsi="Arial Narrow"/>
                <w:i/>
                <w:iCs/>
                <w:spacing w:val="10"/>
                <w:szCs w:val="28"/>
                <w:lang w:val="en-US"/>
              </w:rPr>
              <w:t xml:space="preserve"> </w:t>
            </w:r>
            <w:r w:rsidRPr="001121A7">
              <w:rPr>
                <w:rFonts w:ascii="Arial Narrow" w:hAnsi="Arial Narrow"/>
                <w:i/>
                <w:iCs/>
                <w:spacing w:val="2"/>
                <w:szCs w:val="28"/>
                <w:lang w:val="en-US"/>
              </w:rPr>
              <w:t>Fo</w:t>
            </w:r>
            <w:r w:rsidRPr="001121A7">
              <w:rPr>
                <w:rFonts w:ascii="Arial Narrow" w:hAnsi="Arial Narrow"/>
                <w:i/>
                <w:iCs/>
                <w:spacing w:val="1"/>
                <w:szCs w:val="28"/>
                <w:lang w:val="en-US"/>
              </w:rPr>
              <w:t>r</w:t>
            </w:r>
            <w:r w:rsidRPr="001121A7">
              <w:rPr>
                <w:rFonts w:ascii="Arial Narrow" w:hAnsi="Arial Narrow"/>
                <w:i/>
                <w:iCs/>
                <w:spacing w:val="2"/>
                <w:szCs w:val="28"/>
                <w:lang w:val="en-US"/>
              </w:rPr>
              <w:t>es</w:t>
            </w:r>
            <w:r w:rsidRPr="001121A7">
              <w:rPr>
                <w:rFonts w:ascii="Arial Narrow" w:hAnsi="Arial Narrow"/>
                <w:i/>
                <w:iCs/>
                <w:szCs w:val="28"/>
                <w:lang w:val="en-US"/>
              </w:rPr>
              <w:t>t</w:t>
            </w:r>
            <w:r w:rsidRPr="001121A7">
              <w:rPr>
                <w:rFonts w:ascii="Arial Narrow" w:hAnsi="Arial Narrow"/>
                <w:i/>
                <w:iCs/>
                <w:spacing w:val="15"/>
                <w:szCs w:val="28"/>
                <w:lang w:val="en-US"/>
              </w:rPr>
              <w:t xml:space="preserve"> </w:t>
            </w:r>
            <w:r w:rsidRPr="001121A7">
              <w:rPr>
                <w:rFonts w:ascii="Arial Narrow" w:hAnsi="Arial Narrow"/>
                <w:b/>
                <w:bCs/>
                <w:i/>
                <w:iCs/>
                <w:spacing w:val="3"/>
                <w:w w:val="102"/>
                <w:szCs w:val="28"/>
                <w:lang w:val="en-US"/>
              </w:rPr>
              <w:t>E</w:t>
            </w:r>
            <w:r w:rsidRPr="001121A7">
              <w:rPr>
                <w:rFonts w:ascii="Arial Narrow" w:hAnsi="Arial Narrow"/>
                <w:i/>
                <w:iCs/>
                <w:spacing w:val="2"/>
                <w:w w:val="102"/>
                <w:szCs w:val="28"/>
                <w:lang w:val="en-US"/>
              </w:rPr>
              <w:t>co</w:t>
            </w:r>
            <w:r w:rsidRPr="001121A7">
              <w:rPr>
                <w:rFonts w:ascii="Arial Narrow" w:hAnsi="Arial Narrow"/>
                <w:i/>
                <w:iCs/>
                <w:spacing w:val="1"/>
                <w:w w:val="102"/>
                <w:szCs w:val="28"/>
                <w:lang w:val="en-US"/>
              </w:rPr>
              <w:t>s</w:t>
            </w:r>
            <w:r w:rsidRPr="001121A7">
              <w:rPr>
                <w:rFonts w:ascii="Arial Narrow" w:hAnsi="Arial Narrow"/>
                <w:i/>
                <w:iCs/>
                <w:spacing w:val="2"/>
                <w:w w:val="102"/>
                <w:szCs w:val="28"/>
                <w:lang w:val="en-US"/>
              </w:rPr>
              <w:t>ys</w:t>
            </w:r>
            <w:r w:rsidRPr="001121A7">
              <w:rPr>
                <w:rFonts w:ascii="Arial Narrow" w:hAnsi="Arial Narrow"/>
                <w:i/>
                <w:iCs/>
                <w:spacing w:val="1"/>
                <w:w w:val="102"/>
                <w:szCs w:val="28"/>
                <w:lang w:val="en-US"/>
              </w:rPr>
              <w:t>t</w:t>
            </w:r>
            <w:r w:rsidRPr="001121A7">
              <w:rPr>
                <w:rFonts w:ascii="Arial Narrow" w:hAnsi="Arial Narrow"/>
                <w:i/>
                <w:iCs/>
                <w:spacing w:val="2"/>
                <w:w w:val="102"/>
                <w:szCs w:val="28"/>
                <w:lang w:val="en-US"/>
              </w:rPr>
              <w:t>e</w:t>
            </w:r>
            <w:r w:rsidRPr="001121A7">
              <w:rPr>
                <w:rFonts w:ascii="Arial Narrow" w:hAnsi="Arial Narrow"/>
                <w:i/>
                <w:iCs/>
                <w:spacing w:val="3"/>
                <w:w w:val="102"/>
                <w:szCs w:val="28"/>
                <w:lang w:val="en-US"/>
              </w:rPr>
              <w:t>m</w:t>
            </w:r>
            <w:r w:rsidRPr="001121A7">
              <w:rPr>
                <w:rFonts w:ascii="Arial Narrow" w:hAnsi="Arial Narrow"/>
                <w:i/>
                <w:iCs/>
                <w:w w:val="102"/>
                <w:szCs w:val="28"/>
                <w:lang w:val="en-US"/>
              </w:rPr>
              <w:t>s</w:t>
            </w:r>
          </w:p>
          <w:p w:rsidR="002A29EB" w:rsidRPr="002C55E9" w:rsidRDefault="002A29EB" w:rsidP="005C1AFC">
            <w:pPr>
              <w:autoSpaceDE w:val="0"/>
              <w:autoSpaceDN w:val="0"/>
              <w:adjustRightInd w:val="0"/>
              <w:spacing w:before="8"/>
              <w:ind w:left="102" w:right="-20"/>
              <w:jc w:val="center"/>
              <w:rPr>
                <w:rFonts w:ascii="Arial Narrow" w:hAnsi="Arial Narrow"/>
                <w:sz w:val="28"/>
                <w:szCs w:val="28"/>
                <w:lang w:val="en-US"/>
              </w:rPr>
            </w:pPr>
          </w:p>
        </w:tc>
        <w:tc>
          <w:tcPr>
            <w:tcW w:w="1667" w:type="pct"/>
            <w:shd w:val="clear" w:color="auto" w:fill="auto"/>
          </w:tcPr>
          <w:p w:rsidR="002A29EB" w:rsidRPr="00CC6B16" w:rsidRDefault="002A29EB" w:rsidP="005C1AFC">
            <w:pPr>
              <w:autoSpaceDE w:val="0"/>
              <w:autoSpaceDN w:val="0"/>
              <w:adjustRightInd w:val="0"/>
              <w:jc w:val="right"/>
              <w:rPr>
                <w:sz w:val="20"/>
                <w:szCs w:val="20"/>
                <w:lang w:val="en-US"/>
              </w:rPr>
            </w:pPr>
            <w:r w:rsidRPr="00CC6B16">
              <w:rPr>
                <w:rFonts w:ascii="Arial Narrow" w:hAnsi="Arial Narrow"/>
                <w:b/>
                <w:bCs/>
                <w:noProof/>
                <w:spacing w:val="2"/>
                <w:sz w:val="40"/>
                <w:szCs w:val="40"/>
              </w:rPr>
              <w:drawing>
                <wp:inline distT="0" distB="0" distL="0" distR="0">
                  <wp:extent cx="781050" cy="781050"/>
                  <wp:effectExtent l="0" t="0" r="0" b="0"/>
                  <wp:docPr id="1" name="Image 1" descr="logo-du-programme-investissements-d-avenir_mediu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du-programme-investissements-d-avenir_mediu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bl>
    <w:p w:rsidR="002A29EB" w:rsidRPr="002A29EB" w:rsidRDefault="002A29EB" w:rsidP="002A29EB">
      <w:pPr>
        <w:tabs>
          <w:tab w:val="left" w:pos="9540"/>
        </w:tabs>
        <w:jc w:val="center"/>
        <w:rPr>
          <w:b/>
          <w:bCs/>
        </w:rPr>
      </w:pPr>
      <w:r w:rsidRPr="002A29EB">
        <w:rPr>
          <w:b/>
          <w:bCs/>
        </w:rPr>
        <w:t>Conférence d’Anne-Catherine Favre-</w:t>
      </w:r>
      <w:proofErr w:type="spellStart"/>
      <w:r w:rsidRPr="002A29EB">
        <w:rPr>
          <w:b/>
          <w:bCs/>
        </w:rPr>
        <w:t>Pugin</w:t>
      </w:r>
      <w:proofErr w:type="spellEnd"/>
      <w:r w:rsidRPr="002A29EB">
        <w:rPr>
          <w:b/>
          <w:bCs/>
        </w:rPr>
        <w:t> :</w:t>
      </w:r>
    </w:p>
    <w:p w:rsidR="002A29EB" w:rsidRPr="002A29EB" w:rsidRDefault="002A29EB" w:rsidP="002A29EB">
      <w:pPr>
        <w:tabs>
          <w:tab w:val="left" w:pos="9540"/>
        </w:tabs>
        <w:jc w:val="center"/>
        <w:rPr>
          <w:bCs/>
          <w:sz w:val="22"/>
        </w:rPr>
      </w:pPr>
    </w:p>
    <w:p w:rsidR="002A29EB" w:rsidRPr="002A29EB" w:rsidRDefault="002A29EB" w:rsidP="002A29EB">
      <w:pPr>
        <w:tabs>
          <w:tab w:val="left" w:pos="9540"/>
        </w:tabs>
        <w:jc w:val="center"/>
        <w:rPr>
          <w:b/>
          <w:i/>
          <w:iCs/>
          <w:sz w:val="28"/>
        </w:rPr>
      </w:pPr>
      <w:r>
        <w:rPr>
          <w:b/>
          <w:i/>
          <w:iCs/>
          <w:sz w:val="28"/>
        </w:rPr>
        <w:t>« </w:t>
      </w:r>
      <w:r w:rsidRPr="002A29EB">
        <w:rPr>
          <w:b/>
          <w:i/>
          <w:iCs/>
          <w:sz w:val="28"/>
        </w:rPr>
        <w:t>Tout ce que vous avez toujours voulu savoir sur la modélisation par copules sans oser le demander.</w:t>
      </w:r>
      <w:r>
        <w:rPr>
          <w:b/>
          <w:i/>
          <w:iCs/>
          <w:sz w:val="28"/>
        </w:rPr>
        <w:t> »</w:t>
      </w:r>
    </w:p>
    <w:p w:rsidR="002A29EB" w:rsidRPr="002A29EB" w:rsidRDefault="002A29EB" w:rsidP="002A29EB">
      <w:pPr>
        <w:tabs>
          <w:tab w:val="left" w:pos="9540"/>
        </w:tabs>
        <w:jc w:val="center"/>
        <w:rPr>
          <w:b/>
          <w:i/>
          <w:iCs/>
          <w:sz w:val="28"/>
        </w:rPr>
      </w:pPr>
    </w:p>
    <w:p w:rsidR="002A29EB" w:rsidRPr="002A29EB" w:rsidRDefault="002A29EB" w:rsidP="002A29EB">
      <w:pPr>
        <w:tabs>
          <w:tab w:val="left" w:pos="9540"/>
        </w:tabs>
        <w:jc w:val="center"/>
        <w:rPr>
          <w:iCs/>
        </w:rPr>
      </w:pPr>
      <w:r w:rsidRPr="002A29EB">
        <w:rPr>
          <w:b/>
          <w:iCs/>
        </w:rPr>
        <w:t>18 mai, à 10 heures</w:t>
      </w:r>
      <w:r w:rsidRPr="002A29EB">
        <w:rPr>
          <w:iCs/>
        </w:rPr>
        <w:t xml:space="preserve">, à </w:t>
      </w:r>
      <w:r w:rsidRPr="002A29EB">
        <w:rPr>
          <w:b/>
          <w:iCs/>
        </w:rPr>
        <w:t>Amphi A</w:t>
      </w:r>
      <w:r w:rsidRPr="002A29EB">
        <w:rPr>
          <w:iCs/>
        </w:rPr>
        <w:t xml:space="preserve"> d’</w:t>
      </w:r>
      <w:proofErr w:type="spellStart"/>
      <w:r w:rsidRPr="002A29EB">
        <w:rPr>
          <w:iCs/>
        </w:rPr>
        <w:t>AgroParisTech</w:t>
      </w:r>
      <w:proofErr w:type="spellEnd"/>
    </w:p>
    <w:p w:rsidR="002A29EB" w:rsidRDefault="002A29EB" w:rsidP="002A29EB">
      <w:pPr>
        <w:tabs>
          <w:tab w:val="left" w:pos="9540"/>
        </w:tabs>
        <w:jc w:val="both"/>
        <w:rPr>
          <w:rFonts w:ascii="Arial Narrow" w:hAnsi="Arial Narrow"/>
          <w:i/>
        </w:rPr>
      </w:pPr>
    </w:p>
    <w:p w:rsidR="002A29EB" w:rsidRPr="002A29EB" w:rsidRDefault="002A29EB" w:rsidP="002A29EB">
      <w:pPr>
        <w:tabs>
          <w:tab w:val="left" w:pos="9540"/>
        </w:tabs>
        <w:jc w:val="both"/>
        <w:rPr>
          <w:rFonts w:ascii="Arial Narrow" w:hAnsi="Arial Narrow"/>
          <w:i/>
          <w:sz w:val="22"/>
        </w:rPr>
      </w:pPr>
      <w:r w:rsidRPr="002A29EB">
        <w:rPr>
          <w:rFonts w:ascii="Arial Narrow" w:hAnsi="Arial Narrow"/>
          <w:i/>
          <w:sz w:val="22"/>
        </w:rPr>
        <w:t xml:space="preserve">Modéliser les risques en considérant les changements climatiques par exemple, ou la dépendance entre variables, ou fabriquer des populations artificielles réalistes pour optimiser les choix d’inventaires, voilà quelques exemples de thèmes pour lesquelles les copules peuvent être mis à profit ! </w:t>
      </w:r>
    </w:p>
    <w:p w:rsidR="002A29EB" w:rsidRPr="002A29EB" w:rsidRDefault="002A29EB" w:rsidP="002A29EB">
      <w:pPr>
        <w:tabs>
          <w:tab w:val="left" w:pos="9540"/>
        </w:tabs>
        <w:jc w:val="both"/>
        <w:rPr>
          <w:rFonts w:ascii="Arial Narrow" w:hAnsi="Arial Narrow"/>
          <w:i/>
          <w:sz w:val="22"/>
        </w:rPr>
      </w:pPr>
    </w:p>
    <w:p w:rsidR="002A29EB" w:rsidRPr="002A29EB" w:rsidRDefault="002A29EB" w:rsidP="002A29EB">
      <w:pPr>
        <w:autoSpaceDE w:val="0"/>
        <w:autoSpaceDN w:val="0"/>
        <w:adjustRightInd w:val="0"/>
        <w:jc w:val="both"/>
        <w:rPr>
          <w:sz w:val="22"/>
          <w:szCs w:val="20"/>
        </w:rPr>
      </w:pPr>
      <w:r w:rsidRPr="002A29EB">
        <w:rPr>
          <w:bCs/>
          <w:sz w:val="22"/>
        </w:rPr>
        <w:t xml:space="preserve">Anne-Catherine </w:t>
      </w:r>
      <w:r w:rsidRPr="002A29EB">
        <w:rPr>
          <w:sz w:val="22"/>
          <w:szCs w:val="20"/>
        </w:rPr>
        <w:t>Favre-</w:t>
      </w:r>
      <w:proofErr w:type="spellStart"/>
      <w:r w:rsidRPr="002A29EB">
        <w:rPr>
          <w:sz w:val="22"/>
          <w:szCs w:val="20"/>
        </w:rPr>
        <w:t>Pugin</w:t>
      </w:r>
      <w:proofErr w:type="spellEnd"/>
      <w:r w:rsidRPr="002A29EB">
        <w:rPr>
          <w:sz w:val="22"/>
          <w:szCs w:val="20"/>
        </w:rPr>
        <w:t xml:space="preserve"> a </w:t>
      </w:r>
      <w:proofErr w:type="spellStart"/>
      <w:r w:rsidRPr="002A29EB">
        <w:rPr>
          <w:sz w:val="22"/>
          <w:szCs w:val="20"/>
        </w:rPr>
        <w:t>co</w:t>
      </w:r>
      <w:proofErr w:type="spellEnd"/>
      <w:r w:rsidRPr="002A29EB">
        <w:rPr>
          <w:sz w:val="22"/>
          <w:szCs w:val="20"/>
        </w:rPr>
        <w:t xml:space="preserve">-rédigé un célèbre article de vulgarisation sur les copules </w:t>
      </w:r>
      <w:r w:rsidRPr="002A29EB">
        <w:rPr>
          <w:sz w:val="22"/>
          <w:szCs w:val="20"/>
        </w:rPr>
        <w:fldChar w:fldCharType="begin"/>
      </w:r>
      <w:r w:rsidRPr="002A29EB">
        <w:rPr>
          <w:sz w:val="22"/>
          <w:szCs w:val="20"/>
        </w:rPr>
        <w:instrText xml:space="preserve"> ADDIN ZOTERO_ITEM CSL_CITATION {"citationID":"2g3jkdf9o1","properties":{"formattedCitation":"(Genest and Favre 2007; Parent et al. 2014)","plainCitation":"(Genest and Favre 2007; Parent et al. 2014)"},"citationItems":[{"id":15913,"uris":["http://zotero.org/users/581971/items/X8PBCTTG"],"uri":["http://zotero.org/users/581971/items/X8PBCTTG"],"itemData":{"id":15913,"type":"article-journal","title":"Everything You Always Wanted to Know about Copula Modeling but Were Afraid to Ask","container-title":"Journal of Hydrologic Engineering","page":"347-368","volume":"12","issue":"4","source":"ASCE","abstract":"This paper presents an introduction to inference for copula models, based on rank methods. By working out in detail a small, fictitious numerical example, the writers exhibit the various steps involved in investigating the dependence between two random variables and in modeling it using copulas. Simple graphical tools and numerical techniques are presented for selecting an appropriate model, estimating its parameters, and checking its goodness-of-fit. A larger, realistic application of the methodology to hydrological data is then presented.","DOI":"10.1061/(ASCE)1084-0699(2007)12:4(347)","ISSN":"1084-0699","author":[{"family":"Genest","given":"Christian"},{"family":"Favre","given":"Anne-Catherine"}],"issued":{"date-parts":[["2007"]]}}},{"id":15753,"uris":["http://zotero.org/users/581971/items/3VBZKRHG"],"uri":["http://zotero.org/users/581971/items/3VBZKRHG"],"itemData":{"id":15753,"type":"article-journal","title":"Copula models for frequency analysis what can be learned from a Bayesian perspective?","container-title":"Advances in Water Resources","page":"91-103","volume":"63","source":"CrossRef","DOI":"10.1016/j.advwatres.2013.10.013","ISSN":"03091708","language":"en","author":[{"family":"Parent","given":"Eric"},{"family":"Favre","given":"Anne-Catherine"},{"family":"Bernier","given":"Jacques"},{"family":"Perreault","given":"Luc"}],"issued":{"date-parts":[["2014",1]]}}}],"schema":"https://github.com/citation-style-language/schema/raw/master/csl-citation.json"} </w:instrText>
      </w:r>
      <w:r w:rsidRPr="002A29EB">
        <w:rPr>
          <w:sz w:val="22"/>
          <w:szCs w:val="20"/>
        </w:rPr>
        <w:fldChar w:fldCharType="separate"/>
      </w:r>
      <w:r w:rsidRPr="002A29EB">
        <w:rPr>
          <w:sz w:val="22"/>
          <w:szCs w:val="20"/>
        </w:rPr>
        <w:t>(Genest and Favre 2007)</w:t>
      </w:r>
      <w:r w:rsidRPr="002A29EB">
        <w:rPr>
          <w:sz w:val="22"/>
          <w:szCs w:val="20"/>
        </w:rPr>
        <w:fldChar w:fldCharType="end"/>
      </w:r>
      <w:r w:rsidRPr="002A29EB">
        <w:rPr>
          <w:sz w:val="22"/>
          <w:szCs w:val="20"/>
        </w:rPr>
        <w:t>. Il introduit les inférences de ces modèles et présente un large champ d’applications. Une présentation de sa part sur le sujet sera donc un évènement à ne pas manquer.</w:t>
      </w:r>
    </w:p>
    <w:p w:rsidR="002A29EB" w:rsidRDefault="002A29EB" w:rsidP="002A29EB">
      <w:pPr>
        <w:tabs>
          <w:tab w:val="left" w:pos="9540"/>
        </w:tabs>
        <w:rPr>
          <w:rFonts w:ascii="Arial Narrow" w:hAnsi="Arial Narrow"/>
        </w:rPr>
      </w:pPr>
    </w:p>
    <w:p w:rsidR="002A29EB" w:rsidRPr="009942A7" w:rsidRDefault="002A29EB" w:rsidP="002A29EB">
      <w:pPr>
        <w:autoSpaceDE w:val="0"/>
        <w:autoSpaceDN w:val="0"/>
        <w:adjustRightInd w:val="0"/>
        <w:jc w:val="both"/>
        <w:rPr>
          <w:sz w:val="20"/>
          <w:szCs w:val="20"/>
        </w:rPr>
      </w:pPr>
      <w:r w:rsidRPr="009942A7">
        <w:rPr>
          <w:sz w:val="20"/>
          <w:szCs w:val="20"/>
        </w:rPr>
        <w:t xml:space="preserve">Ces dernières décennies, nous assistons à l’émergence du concept de copule en modélisation statistiques </w:t>
      </w:r>
      <w:r w:rsidRPr="009942A7">
        <w:rPr>
          <w:sz w:val="20"/>
          <w:szCs w:val="20"/>
        </w:rPr>
        <w:fldChar w:fldCharType="begin"/>
      </w:r>
      <w:r w:rsidRPr="009942A7">
        <w:rPr>
          <w:sz w:val="20"/>
          <w:szCs w:val="20"/>
        </w:rPr>
        <w:instrText xml:space="preserve"> ADDIN ZOTERO_ITEM CSL_CITATION {"citationID":"bO60zEMQ","properties":{"formattedCitation":"(Harry Joe 1997)","plainCitation":"(Harry Joe 1997)"},"citationItems":[{"id":15857,"uris":["http://zotero.org/users/581971/items/WAQQIFPU"],"uri":["http://zotero.org/users/581971/items/WAQQIFPU"],"itemData":{"id":15857,"type":"book","title":"Multivariate Models and Multivariate Dependence Concepts","collection-title":"C&amp;H/CRC Monographs on Statistics &amp; Applied Probability","publisher":"Chapman and Hall/CRC","number-of-pages":"-1","source":"crcnetbase.com (Atypon)","URL":"http://www.crcnetbase.com/doi/book/10.1201/b13150","ISBN":"978-0-412-07331-1","author":[{"literal":"Harry Joe"}],"issued":{"date-parts":[["1997",5,1]]},"accessed":{"date-parts":[["2016",7,15]]}}}],"schema":"https://github.com/citation-style-language/schema/raw/master/csl-citation.json"} </w:instrText>
      </w:r>
      <w:r w:rsidRPr="009942A7">
        <w:rPr>
          <w:sz w:val="20"/>
          <w:szCs w:val="20"/>
        </w:rPr>
        <w:fldChar w:fldCharType="separate"/>
      </w:r>
      <w:r w:rsidRPr="009942A7">
        <w:rPr>
          <w:sz w:val="20"/>
        </w:rPr>
        <w:t>(Joe 1997)</w:t>
      </w:r>
      <w:r w:rsidRPr="009942A7">
        <w:rPr>
          <w:sz w:val="20"/>
          <w:szCs w:val="20"/>
        </w:rPr>
        <w:fldChar w:fldCharType="end"/>
      </w:r>
      <w:r w:rsidRPr="009942A7">
        <w:rPr>
          <w:sz w:val="20"/>
          <w:szCs w:val="20"/>
        </w:rPr>
        <w:t>. Cette popularité est liée au fait que les copules permettent de modéliser séparément les lois marginales et la structure de dépendance des variables aléatoires. Comme en foresterie, les phénomènes étudiés sont fréquemment multidimensionnels et nécessitent la modélisation conjointe de plusieurs variables aléatoires, cette technique semble donc particulièrement intéressante à considérer pour modéliser ces phénomènes.</w:t>
      </w:r>
    </w:p>
    <w:p w:rsidR="002A29EB" w:rsidRPr="001121A7" w:rsidRDefault="002A29EB" w:rsidP="002A29EB">
      <w:pPr>
        <w:autoSpaceDE w:val="0"/>
        <w:autoSpaceDN w:val="0"/>
        <w:adjustRightInd w:val="0"/>
        <w:jc w:val="both"/>
        <w:rPr>
          <w:sz w:val="20"/>
          <w:szCs w:val="20"/>
        </w:rPr>
      </w:pPr>
      <w:r w:rsidRPr="009942A7">
        <w:rPr>
          <w:sz w:val="20"/>
          <w:szCs w:val="20"/>
        </w:rPr>
        <w:t xml:space="preserve">Dans la littérature forestière, cette technique a déjà été utilisée pour générer des populations aléatoires réalistes, afin d’évaluer l’erreur d’échantillonnage liée à différentes méthodes d’inventaires </w:t>
      </w:r>
      <w:r w:rsidRPr="009942A7">
        <w:rPr>
          <w:sz w:val="20"/>
          <w:szCs w:val="20"/>
        </w:rPr>
        <w:fldChar w:fldCharType="begin"/>
      </w:r>
      <w:r w:rsidRPr="009942A7">
        <w:rPr>
          <w:sz w:val="20"/>
          <w:szCs w:val="20"/>
        </w:rPr>
        <w:instrText xml:space="preserve"> ADDIN ZOTERO_ITEM CSL_CITATION {"citationID":"Z7WPjQIo","properties":{"formattedCitation":"(Ene et al. 2013b, a; Kangas et al. 2016)","plainCitation":"(Ene et al. 2013b, a; Kangas et al. 2016)"},"citationItems":[{"id":3255,"uris":["http://zotero.org/users/581971/items/PBKCWSVS"],"uri":["http://zotero.org/users/581971/items/PBKCWSVS"],"itemData":{"id":3255,"type":"article-journal","title":"A simulation approach for accuracy assessment of two-phase post-stratified estimation in large-area LiDAR biomass surveys","container-title":"Remote Sensing of Environment","page":"210-224","volume":"133","abstract":"Auxiliary information provided by airborne laser scanners (ALS) is expected to increase the accuracy of biomass estimation in large-scale forest surveys. Because acquisition of \"wall-to-wall\" ALS data over large areas is not economically feasible, a systematic sampling approach using ALS as a strip sampling tool was used to supplement a conventional field-based inventory in a large-scale biomass survey in Hedmark County (HC), Norway. However, the complexities of these surveys render prohibitive the analytical determination of the properties of the resulting estimators and of the estimators of their sampling variances. To overcome the problem, the statistical properties of the estimators were empirically investigated in this paper using simulated sampling from an artificial population. Through this approach, estimators with desirable properties can be identified and used for inference in real applications. By combining biomass estimates from Norwegian National Forest Inventory plots in HC, ALS measurements and Landsat 5 TM imagery, an artificial population at the scale of HC was created. Using this artificial population as \"ground-truth\", we demonstrate how simulated sampling can be used for assessing the statistical properties of regression estimators and of their variance estimators under two-phase post-stratified systematic sampling (SYS) and simple random sampling without replacement (SRSwoR) designs, considering design- and model-dependent inferential frameworks. The results were assessed using a purely ground-based systematic design with a Horvitz-Thompson (HT) estimator as benchmark. The real overall precision of the ALS-aided systematic survey was nearly five times overestimated when using the design-based variance estimators developed for SRSwoR, while under model-dependent inference the overestimation of the real standard errors was around 40%. Compared to ground-based inventory, the estimated standard errors of the systematic ALS survey doubled while in reality the standard errors were 55% lower. Using successive differences variance estimators greatly improved the precision of the systematic ALS-aided survey and produced valid 95% confidence intervals under the design-based inference. The most satisfactory results for the ALS-aided survey in terms of analytical variances occurred under design-based inference with successive difference variance estimator, closely followed by the model-dependent estimators. Using simulations, the cost efficiency of the ground based and ALS-aided surveys was assessed by evaluating accuracy against inventory cost for various sampling intensities. The results indicated that the ALS-aided surveys can be a cost-efficient alternative to traditional field inventories. © 2012 Elsevier Inc.","author":[{"family":"Ene","given":"L.T."},{"family":"Næsset","given":"E."},{"family":"Gobakken","given":"T."},{"family":"Gregoire","given":"T.G."},{"family":"Ståhl","given":"G."},{"family":"Holm","given":"S."}],"issued":{"date-parts":[["2013"]]}}},{"id":16472,"uris":["http://zotero.org/users/581971/items/RIHJQ26J"],"uri":["http://zotero.org/users/581971/items/RIHJQ26J"],"itemData":{"id":16472,"type":"article-journal","title":"Model-based inference for k-nearest neighbours predictions using a canonical vine copula","container-title":"Scandinavian Journal of Forest Research","page":"266-281","volume":"28","issue":"3","source":"Taylor and Francis+NEJM","abstract":"The k-near neighbours (k-NN) technique combines field data from forest inventories and auxiliary information for forest resource estimation at various geographical scales. In this study, auxiliary data consisting of Landsat 5 TM satellite imagery and terrain elevations were used to perform k-NN imputations of plot-level above ground biomass. Following the model-based inference, a superpopulation model consisting of a canonical vine copula was constructed from the empirical data, and new samples were generated from the model and used for k-NN predictions. The method used herein allows constructing the sampling distribution for the imputation errors and for assessing the statistical properties of the k-NN estimator. Using a data-splitting procedure, the copula-based approach was assessed against pair-bootstrap resampling. The imputations were performed using k (the number of neighbours) = 1 and by using optimal k values selected according to a bias-minimizing criterion. The empirical coverage probabilities of the confidence intervals constructed using the copula-based approach were closer to the nominal coverages. The improvements were due to significant bias reduction, while the standard errors were higher compared to the bootstrap. Still, the root mean squared error was significantly reduced. The best results were obtained using the copula approach and k-NN imputations with k=1.","DOI":"10.1080/02827581.2012.723743","ISSN":"0282-7581","author":[{"family":"Ene","given":"Liviu Theodor"},{"family":"Næsset","given":"Erik"},{"family":"Gobakken","given":"Terje"}],"issued":{"date-parts":[["2013",4,1]]}}},{"id":15908,"uris":["http://zotero.org/users/581971/items/QSUER6EG"],"uri":["http://zotero.org/users/581971/items/QSUER6EG"],"itemData":{"id":15908,"type":"article-journal","title":"Model-assisted forest inventory with parametric, semiparametric, and nonparametric models","container-title":"Canadian Journal of Forest Research","page":"855-868","volume":"46","issue":"6","source":"NRC Research Press","abstract":"Survey sampling with model-assisted estimation has been gaining popularity in forest inventory recently, as the availability of cheap, good-quality remotely sensed data that can be used as auxiliary information has improved. Most of the studies have been carried out using parametric (linear or nonlinear) models. However, nonparametric and semiparametric models such as k nearest neighbor, kernel, and generalized additive are widely used in forest inventory. The results are usually calculated using the difference estimator (i.e., assuming an external model), even though the models used are based on the sample (i.e., an internal model). In that case, variances will likely be underestimated. In this study, we analyze how well the difference estimator works for different types of models, both internal and external. The study is based on simulated populations produced using a C-vine copula model with empirical marginals. The external model is based on real data, and the internal models are estimated from sample..., L’échantillonnage à l’aide d’estimations assistées par des modèles a récemment gagné en popularité pour les inventaires forestiers avec l’augmentation de la disponibilité de données de télédétection bon marché et de bonne qualité qui peuvent être utilisées comme information auxiliaire. La plupart des études ont été effectuées avec des modèles paramétriques (linéaires ou non linéaires). Toutefois, des modèles non paramétriques ou semi-paramétriques, tels que les modèles des k plus proches voisins, à noyau et additif généralisé (MAG), sont couramment utilisés en inventaire forestier. Les résultats sont généralement calculés avec l’estimateur de différences (c.-à-d. en assumant un modèle externe), même si les modèles utilisés sont fondés sur l’échantillon (c.-à-d. un modèle interne). Dans ce cas, les variances seront probablement sous-estimées. Dans cette étude, nous analysons comment se comporte l’estimateur de différences pour différents types de modèles, qu’ils soient internes ou externes. L’étude repose ...","DOI":"10.1139/cjfr-2015-0504","ISSN":"0045-5067","journalAbbreviation":"Can. J. For. Res.","author":[{"family":"Kangas","given":"Annika"},{"family":"Myllymäki","given":"Mari"},{"family":"Gobakken","given":"Terje"},{"family":"Næsset","given":"Erik"}],"issued":{"date-parts":[["2016",4,7]]}}}],"schema":"https://github.com/citation-style-language/schema/raw/master/csl-citation.json"} </w:instrText>
      </w:r>
      <w:r w:rsidRPr="009942A7">
        <w:rPr>
          <w:sz w:val="20"/>
          <w:szCs w:val="20"/>
        </w:rPr>
        <w:fldChar w:fldCharType="separate"/>
      </w:r>
      <w:r w:rsidRPr="009942A7">
        <w:rPr>
          <w:sz w:val="20"/>
        </w:rPr>
        <w:t>(Ene et al. 2013a,b; Kangas et al. 2016)</w:t>
      </w:r>
      <w:r w:rsidRPr="009942A7">
        <w:rPr>
          <w:sz w:val="20"/>
          <w:szCs w:val="20"/>
        </w:rPr>
        <w:fldChar w:fldCharType="end"/>
      </w:r>
      <w:r w:rsidRPr="009942A7">
        <w:rPr>
          <w:sz w:val="20"/>
          <w:szCs w:val="20"/>
        </w:rPr>
        <w:t xml:space="preserve">.  Les résultats obtenus montrent que l’estimateur de la variance d’un échantillon peut parfois être fortement sous-estimé si la corrélation entre les variables n’est pas prise en compte. Wang et al. (2008, 2010) </w:t>
      </w:r>
      <w:proofErr w:type="gramStart"/>
      <w:r w:rsidRPr="009942A7">
        <w:rPr>
          <w:sz w:val="20"/>
          <w:szCs w:val="20"/>
        </w:rPr>
        <w:t>ont</w:t>
      </w:r>
      <w:proofErr w:type="gramEnd"/>
      <w:r w:rsidRPr="009942A7">
        <w:rPr>
          <w:sz w:val="20"/>
          <w:szCs w:val="20"/>
        </w:rPr>
        <w:t xml:space="preserve"> utilisé cette approche pour modéliser conjointement le diamètre d’arbres ainsi que leur hauteur et volume.  Des modélisations de la régénération ou de la structure forestière ont  également été produites à l’aide de copules </w:t>
      </w:r>
      <w:r w:rsidRPr="009942A7">
        <w:rPr>
          <w:sz w:val="20"/>
          <w:szCs w:val="20"/>
        </w:rPr>
        <w:fldChar w:fldCharType="begin"/>
      </w:r>
      <w:r w:rsidRPr="009942A7">
        <w:rPr>
          <w:sz w:val="20"/>
          <w:szCs w:val="20"/>
        </w:rPr>
        <w:instrText xml:space="preserve"> ADDIN ZOTERO_ITEM CSL_CITATION {"citationID":"KbkxCmhe","properties":{"formattedCitation":"(Miina and Heinonen 2008; Kershaw Jr. et al. 2010)","plainCitation":"(Miina and Heinonen 2008; Kershaw Jr. et al. 2010)"},"citationItems":[{"id":16477,"uris":["http://zotero.org/users/581971/items/MT9ISVF8"],"uri":["http://zotero.org/users/581971/items/MT9ISVF8"],"itemData":{"id":16477,"type":"article-journal","title":"Stochastic Simulation of Forest Regeneration Establishment Using a Multilevel Multivariate Model","container-title":"Forest Science","page":"206-219","volume":"54","issue":"2","source":"IngentaConnect","abstract":"Here we present a method for simulating high unexplained variation in establishment of tree seedlings in planted Norway spruce (Picea abies [L.] Karst.) stands. The simulation method is based on an existing hierarchical multilevel multivariate model for establishment of regeneration (Miina, J., and T. Saksa. 2006. New For. 32:265–283). The model includes seven simultaneously estimated models for numbers and heights of tree seedlings on 20-m2 plots within a regeneration area. The variation in plot-level expectations is described by fixed effects and two nested multivariate normal random effects. Conditionally, given the expected values, one of the count variables is underdispersed and four are overdispersed relative to Poisson law. The conditional distributions of the square roots of the height variables are normal. For the conditional joint distribution, the model defines the product-moment cross-correlation matrix, which includes both positive and negative cross-correlations. The first two moments do not, however, uniquely define the marginal distributions of the count variables or the joint distribution of all seven variables. We applied binomial distribution for the underdispersed Poisson variation and negative binomial distribution for the overdispersed Poisson variation. The conditional joint distribution was defined by a multivariate normal copula and the marginal distributions. Despite relatively low cross-correlations among responses, if the cross-correlations among random components of the responses were ignored in stochastic simulations, the amount and costs of precommercial thinning (i.e., cleaning out competing broadleaves) were greatly underestimated. If all random effect components in model parameters were dropped, the error increased markedly.","journalAbbreviation":"Forest Science","author":[{"family":"Miina","given":"Jari"},{"family":"Heinonen","given":"Jaakko"}],"issued":{"date-parts":[["2008",4,1]]}}},{"id":16501,"uris":["http://zotero.org/users/581971/items/6FP7UNEX"],"uri":["http://zotero.org/users/581971/items/6FP7UNEX"],"itemData":{"id":16501,"type":"article-journal","title":"Spatially correlated forest stand structures: A simulation approach using copulas","container-title":"Computers and Electronics in Agriculture","page":"120-128","volume":"74","issue":"1","source":"ScienceDirect","abstract":"Spatial structure of forest stands is one of the main drivers of forest growth and yield, and is an important indicator of wildlife habitat, aesthetics, and other non-timber forest uses. Because spatial structure is costly to measure, a number of approaches for simulating spatial structures have been proposed. In this paper, we propose a simple approach that is capable of generating multispecies stand structures. Based on the method of copulas (Genest and MacKay, 1986, Am. Stat. 40:280–283), we utilize a normal copula to simulate spatially correlated stand structures. Species composition, diameter, height, and crown ratio distributions of each species, and their correlation with underlying spatial patterns are all controlled by user inputs. Example data sets are used to demonstrate how to estimate required parameters and compare simulated spatial structures with observed spatial structures. Except at the smallest scales (&amp;lt;10 m in the longleaf pine dataset and &amp;lt;2 m in the mixed Acadian Forest dataset), the simulated stand structures adequately captured the observed spatial patterns. Based on these comparisons, we conclude that the system is capable of simulating a range of forest stand spatial structures.","DOI":"10.1016/j.compag.2010.07.005","ISSN":"0168-1699","shortTitle":"Spatially correlated forest stand structures","journalAbbreviation":"Computers and Electronics in Agriculture","author":[{"family":"Kershaw Jr.","given":"John A."},{"family":"Richards","given":"Evelyn W."},{"family":"McCarter","given":"James B."},{"family":"Oborn","given":"Sven"}],"issued":{"date-parts":[["2010",10]]}}}],"schema":"https://github.com/citation-style-language/schema/raw/master/csl-citation.json"} </w:instrText>
      </w:r>
      <w:r w:rsidRPr="009942A7">
        <w:rPr>
          <w:sz w:val="20"/>
          <w:szCs w:val="20"/>
        </w:rPr>
        <w:fldChar w:fldCharType="separate"/>
      </w:r>
      <w:r w:rsidRPr="009942A7">
        <w:rPr>
          <w:sz w:val="20"/>
        </w:rPr>
        <w:t>(Miina and Heinonen 2008; Kershaw Jr. et al. 2010)</w:t>
      </w:r>
      <w:r w:rsidRPr="009942A7">
        <w:rPr>
          <w:sz w:val="20"/>
          <w:szCs w:val="20"/>
        </w:rPr>
        <w:fldChar w:fldCharType="end"/>
      </w:r>
      <w:r w:rsidRPr="009942A7">
        <w:rPr>
          <w:sz w:val="20"/>
          <w:szCs w:val="20"/>
        </w:rPr>
        <w:t>. La réponse des essences forestières aux changements climatiques ne semble pas avoir été modélisée par le biais de copules. Pourtant, elle permet la prise en compte de dépendances non-linéaires et l’utilisation de lois marginales non-gaussiennes, ce qui représente un avantage qui reste à être évalué dans le processus de modélisation des niches climatiques des essences forestières par exemple</w:t>
      </w:r>
      <w:r>
        <w:rPr>
          <w:sz w:val="20"/>
          <w:szCs w:val="20"/>
        </w:rPr>
        <w:t xml:space="preserve">. </w:t>
      </w:r>
    </w:p>
    <w:p w:rsidR="002A29EB" w:rsidRPr="002A319B" w:rsidRDefault="002A29EB" w:rsidP="002A29EB">
      <w:pPr>
        <w:autoSpaceDE w:val="0"/>
        <w:autoSpaceDN w:val="0"/>
        <w:adjustRightInd w:val="0"/>
        <w:rPr>
          <w:b/>
          <w:szCs w:val="20"/>
        </w:rPr>
      </w:pPr>
    </w:p>
    <w:p w:rsidR="002A29EB" w:rsidRPr="001714F1" w:rsidRDefault="002A29EB" w:rsidP="002A29EB">
      <w:pPr>
        <w:tabs>
          <w:tab w:val="left" w:pos="9540"/>
        </w:tabs>
        <w:rPr>
          <w:b/>
          <w:lang w:val="en-CA"/>
        </w:rPr>
      </w:pPr>
      <w:proofErr w:type="gramStart"/>
      <w:r w:rsidRPr="001714F1">
        <w:rPr>
          <w:b/>
          <w:szCs w:val="20"/>
          <w:lang w:val="en-CA"/>
        </w:rPr>
        <w:t xml:space="preserve">References </w:t>
      </w:r>
      <w:r>
        <w:rPr>
          <w:b/>
          <w:lang w:val="en-CA"/>
        </w:rPr>
        <w:t>:</w:t>
      </w:r>
      <w:proofErr w:type="gramEnd"/>
    </w:p>
    <w:p w:rsidR="002A29EB" w:rsidRPr="009942A7" w:rsidRDefault="002A29EB" w:rsidP="002A29EB">
      <w:pPr>
        <w:pStyle w:val="Bibliographie"/>
        <w:spacing w:after="0"/>
        <w:rPr>
          <w:rFonts w:ascii="Arial Narrow" w:hAnsi="Arial Narrow"/>
          <w:sz w:val="18"/>
          <w:lang w:val="en-CA"/>
        </w:rPr>
      </w:pPr>
      <w:r w:rsidRPr="009942A7">
        <w:rPr>
          <w:rFonts w:ascii="Arial Narrow" w:hAnsi="Arial Narrow"/>
          <w:b/>
          <w:i/>
          <w:sz w:val="18"/>
        </w:rPr>
        <w:fldChar w:fldCharType="begin"/>
      </w:r>
      <w:r w:rsidRPr="009942A7">
        <w:rPr>
          <w:rFonts w:ascii="Arial Narrow" w:hAnsi="Arial Narrow"/>
          <w:b/>
          <w:i/>
          <w:sz w:val="18"/>
          <w:lang w:val="en-CA"/>
        </w:rPr>
        <w:instrText xml:space="preserve"> ADDIN ZOTERO_BIBL {"custom":[]} CSL_BIBLIOGRAPHY </w:instrText>
      </w:r>
      <w:r w:rsidRPr="009942A7">
        <w:rPr>
          <w:rFonts w:ascii="Arial Narrow" w:hAnsi="Arial Narrow"/>
          <w:b/>
          <w:i/>
          <w:sz w:val="18"/>
        </w:rPr>
        <w:fldChar w:fldCharType="separate"/>
      </w:r>
      <w:r w:rsidRPr="009942A7">
        <w:rPr>
          <w:rFonts w:ascii="Arial Narrow" w:hAnsi="Arial Narrow"/>
          <w:sz w:val="18"/>
          <w:lang w:val="en-CA"/>
        </w:rPr>
        <w:t>Ene LT, Næsset E, Gobakken T (2013a) Model-based inference for k-nearest neighbours predictions using a canonical vine copula. Scand J For Res 28:266–281. doi: 10.1080/02827581.2012.723743</w:t>
      </w:r>
    </w:p>
    <w:p w:rsidR="002A29EB" w:rsidRPr="009942A7" w:rsidRDefault="002A29EB" w:rsidP="002A29EB">
      <w:pPr>
        <w:pStyle w:val="Bibliographie"/>
        <w:spacing w:after="0"/>
        <w:rPr>
          <w:rFonts w:ascii="Arial Narrow" w:hAnsi="Arial Narrow"/>
          <w:sz w:val="18"/>
          <w:lang w:val="en-CA"/>
        </w:rPr>
      </w:pPr>
      <w:r w:rsidRPr="009942A7">
        <w:rPr>
          <w:rFonts w:ascii="Arial Narrow" w:hAnsi="Arial Narrow"/>
          <w:sz w:val="18"/>
          <w:lang w:val="en-CA"/>
        </w:rPr>
        <w:t>Ene LT, Næsset E, Gobakken T, et al (2013b) A simulation approach for accuracy assessment of two-phase post-stratified estimation in large-area LiDAR biomass surveys. Remote Sens Environ 133:210–224.</w:t>
      </w:r>
    </w:p>
    <w:p w:rsidR="002A29EB" w:rsidRPr="009942A7" w:rsidRDefault="002A29EB" w:rsidP="002A29EB">
      <w:pPr>
        <w:pStyle w:val="Bibliographie"/>
        <w:spacing w:after="0"/>
        <w:rPr>
          <w:rFonts w:ascii="Arial Narrow" w:hAnsi="Arial Narrow"/>
          <w:sz w:val="18"/>
          <w:lang w:val="en-CA"/>
        </w:rPr>
      </w:pPr>
      <w:r w:rsidRPr="009942A7">
        <w:rPr>
          <w:rFonts w:ascii="Arial Narrow" w:hAnsi="Arial Narrow"/>
          <w:sz w:val="18"/>
          <w:lang w:val="en-CA"/>
        </w:rPr>
        <w:t>Genest C, Favre A-C (2007) Everything You Always Wanted to Know about Copula Modeling but Were Afraid to Ask. J Hydrol Eng 12:347–368. doi: 10.1061/(ASCE)1084-0699(2007)12:4(347)</w:t>
      </w:r>
    </w:p>
    <w:p w:rsidR="002A29EB" w:rsidRPr="009942A7" w:rsidRDefault="002A29EB" w:rsidP="002A29EB">
      <w:pPr>
        <w:pStyle w:val="Bibliographie"/>
        <w:spacing w:after="0"/>
        <w:rPr>
          <w:rFonts w:ascii="Arial Narrow" w:hAnsi="Arial Narrow"/>
          <w:sz w:val="18"/>
          <w:lang w:val="en-CA"/>
        </w:rPr>
      </w:pPr>
      <w:r w:rsidRPr="009942A7">
        <w:rPr>
          <w:rFonts w:ascii="Arial Narrow" w:hAnsi="Arial Narrow"/>
          <w:sz w:val="18"/>
          <w:lang w:val="en-CA"/>
        </w:rPr>
        <w:t>Joe</w:t>
      </w:r>
      <w:r w:rsidR="00964B84">
        <w:rPr>
          <w:rFonts w:ascii="Arial Narrow" w:hAnsi="Arial Narrow"/>
          <w:sz w:val="18"/>
          <w:lang w:val="en-CA"/>
        </w:rPr>
        <w:t xml:space="preserve"> H </w:t>
      </w:r>
      <w:r w:rsidRPr="009942A7">
        <w:rPr>
          <w:rFonts w:ascii="Arial Narrow" w:hAnsi="Arial Narrow"/>
          <w:sz w:val="18"/>
          <w:lang w:val="en-CA"/>
        </w:rPr>
        <w:t xml:space="preserve"> (1997) Multivariate Models and Multivariate Dependence Concepts. Chapman and Hall/CRC</w:t>
      </w:r>
    </w:p>
    <w:p w:rsidR="002A29EB" w:rsidRPr="009942A7" w:rsidRDefault="002A29EB" w:rsidP="002A29EB">
      <w:pPr>
        <w:pStyle w:val="Bibliographie"/>
        <w:spacing w:after="0"/>
        <w:rPr>
          <w:rFonts w:ascii="Arial Narrow" w:hAnsi="Arial Narrow"/>
          <w:sz w:val="18"/>
          <w:lang w:val="en-CA"/>
        </w:rPr>
      </w:pPr>
      <w:r w:rsidRPr="009942A7">
        <w:rPr>
          <w:rFonts w:ascii="Arial Narrow" w:hAnsi="Arial Narrow"/>
          <w:sz w:val="18"/>
          <w:lang w:val="en-CA"/>
        </w:rPr>
        <w:t>Kangas A, Myllymäki M, Gobakken T, Næsset E (2016) Model-assisted forest inventory with parametric, semiparametric, and nonparametric models. Can J For Res 46:855–868. doi: 10.1139/cjfr-2015-0504</w:t>
      </w:r>
    </w:p>
    <w:p w:rsidR="002A29EB" w:rsidRPr="009942A7" w:rsidRDefault="002A29EB" w:rsidP="002A29EB">
      <w:pPr>
        <w:pStyle w:val="Bibliographie"/>
        <w:spacing w:after="0"/>
        <w:rPr>
          <w:rFonts w:ascii="Arial Narrow" w:hAnsi="Arial Narrow"/>
          <w:sz w:val="18"/>
          <w:lang w:val="en-CA"/>
        </w:rPr>
      </w:pPr>
      <w:r w:rsidRPr="009942A7">
        <w:rPr>
          <w:rFonts w:ascii="Arial Narrow" w:hAnsi="Arial Narrow"/>
          <w:sz w:val="18"/>
          <w:lang w:val="en-CA"/>
        </w:rPr>
        <w:t>Kershaw Jr. JA, Richards EW, McCarter JB, Oborn S (2010) Spatially correlated forest stand structures: A simulation approach using copulas. Comput Electron Agric 74:120–128. doi: 10.1016/j.compag.2010.07.005</w:t>
      </w:r>
    </w:p>
    <w:p w:rsidR="002A29EB" w:rsidRPr="009942A7" w:rsidRDefault="002A29EB" w:rsidP="002A29EB">
      <w:pPr>
        <w:pStyle w:val="Bibliographie"/>
        <w:spacing w:after="0"/>
        <w:rPr>
          <w:rFonts w:ascii="Arial Narrow" w:hAnsi="Arial Narrow"/>
          <w:sz w:val="18"/>
          <w:lang w:val="en-CA"/>
        </w:rPr>
      </w:pPr>
      <w:r w:rsidRPr="009942A7">
        <w:rPr>
          <w:rFonts w:ascii="Arial Narrow" w:hAnsi="Arial Narrow"/>
          <w:sz w:val="18"/>
          <w:lang w:val="en-CA"/>
        </w:rPr>
        <w:t>Miina J, Heinonen J (2008) Stochastic Simulation of Forest Regeneration Establishment Using a Multilevel Multivariate Model. For Sci 54:206–219.</w:t>
      </w:r>
    </w:p>
    <w:p w:rsidR="002A29EB" w:rsidRPr="009942A7" w:rsidRDefault="002A29EB" w:rsidP="002A29EB">
      <w:pPr>
        <w:pStyle w:val="Bibliographie"/>
        <w:spacing w:after="0"/>
        <w:rPr>
          <w:rFonts w:ascii="Arial Narrow" w:hAnsi="Arial Narrow"/>
          <w:sz w:val="18"/>
          <w:lang w:val="en-CA"/>
        </w:rPr>
      </w:pPr>
      <w:r w:rsidRPr="009942A7">
        <w:rPr>
          <w:rFonts w:ascii="Arial Narrow" w:hAnsi="Arial Narrow"/>
          <w:sz w:val="18"/>
          <w:lang w:val="en-CA"/>
        </w:rPr>
        <w:t>Parent E, Favre A-C, Bernier J, Perreault L (2014) Copula models for frequency analysis what can be learned from a Bayesian perspective? Adv Water Resour 63:91–103. doi: 10.1016/j.advwatres.2013.10.013</w:t>
      </w:r>
    </w:p>
    <w:p w:rsidR="002A29EB" w:rsidRPr="009942A7" w:rsidRDefault="002A29EB" w:rsidP="002A29EB">
      <w:pPr>
        <w:pStyle w:val="Bibliographie"/>
        <w:spacing w:after="0"/>
        <w:rPr>
          <w:rFonts w:ascii="Arial Narrow" w:hAnsi="Arial Narrow"/>
          <w:sz w:val="18"/>
          <w:lang w:val="en-CA"/>
        </w:rPr>
      </w:pPr>
      <w:r w:rsidRPr="009942A7">
        <w:rPr>
          <w:rFonts w:ascii="Arial Narrow" w:hAnsi="Arial Narrow"/>
          <w:sz w:val="18"/>
          <w:lang w:val="en-CA"/>
        </w:rPr>
        <w:t>Wang M, Rennolls K, Tang S (2008) Bivariate Distribution Modeling of Tree Diameters and Heights: Dependency Modeling Using Copulas. For Sci 54:284–293.</w:t>
      </w:r>
    </w:p>
    <w:p w:rsidR="001D3AC2" w:rsidRDefault="002A29EB" w:rsidP="004D2192">
      <w:pPr>
        <w:pStyle w:val="Bibliographie"/>
        <w:spacing w:after="0"/>
      </w:pPr>
      <w:r w:rsidRPr="009942A7">
        <w:rPr>
          <w:rFonts w:ascii="Arial Narrow" w:hAnsi="Arial Narrow"/>
          <w:sz w:val="18"/>
          <w:lang w:val="en-CA"/>
        </w:rPr>
        <w:t xml:space="preserve">Wang M, Upadhyay A, Zhang L (2010) Trivariate Distribution Modeling of Tree Diameter, Height, and Volume. </w:t>
      </w:r>
      <w:r w:rsidRPr="009942A7">
        <w:rPr>
          <w:rFonts w:ascii="Arial Narrow" w:hAnsi="Arial Narrow"/>
          <w:sz w:val="18"/>
        </w:rPr>
        <w:t>For Sci 56:290–300.</w:t>
      </w:r>
      <w:r w:rsidRPr="009942A7">
        <w:rPr>
          <w:rFonts w:ascii="Arial Narrow" w:hAnsi="Arial Narrow"/>
          <w:b/>
          <w:i/>
          <w:sz w:val="18"/>
        </w:rPr>
        <w:fldChar w:fldCharType="end"/>
      </w:r>
      <w:bookmarkStart w:id="0" w:name="_GoBack"/>
      <w:bookmarkEnd w:id="0"/>
    </w:p>
    <w:sectPr w:rsidR="001D3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EB"/>
    <w:rsid w:val="001D3AC2"/>
    <w:rsid w:val="002A29EB"/>
    <w:rsid w:val="004D2192"/>
    <w:rsid w:val="00964B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9E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unhideWhenUsed/>
    <w:rsid w:val="002A29EB"/>
    <w:pPr>
      <w:spacing w:after="240"/>
      <w:ind w:left="720" w:hanging="720"/>
    </w:pPr>
  </w:style>
  <w:style w:type="paragraph" w:styleId="Textedebulles">
    <w:name w:val="Balloon Text"/>
    <w:basedOn w:val="Normal"/>
    <w:link w:val="TextedebullesCar"/>
    <w:uiPriority w:val="99"/>
    <w:semiHidden/>
    <w:unhideWhenUsed/>
    <w:rsid w:val="002A29EB"/>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9EB"/>
    <w:rPr>
      <w:rFonts w:ascii="Segoe UI" w:eastAsia="Times New Roman" w:hAnsi="Segoe UI" w:cs="Segoe UI"/>
      <w:sz w:val="18"/>
      <w:szCs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9E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unhideWhenUsed/>
    <w:rsid w:val="002A29EB"/>
    <w:pPr>
      <w:spacing w:after="240"/>
      <w:ind w:left="720" w:hanging="720"/>
    </w:pPr>
  </w:style>
  <w:style w:type="paragraph" w:styleId="Textedebulles">
    <w:name w:val="Balloon Text"/>
    <w:basedOn w:val="Normal"/>
    <w:link w:val="TextedebullesCar"/>
    <w:uiPriority w:val="99"/>
    <w:semiHidden/>
    <w:unhideWhenUsed/>
    <w:rsid w:val="002A29EB"/>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9EB"/>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3153</Words>
  <Characters>17344</Characters>
  <Application>Microsoft Office Word</Application>
  <DocSecurity>4</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Office National des Forêts</Company>
  <LinksUpToDate>false</LinksUpToDate>
  <CharactersWithSpaces>20457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RENAUD Jean-Pierre (DTCB)</dc:creator>
  <cp:lastModifiedBy>Elodie-Denise Ripamonti</cp:lastModifiedBy>
  <cp:revision>2</cp:revision>
  <cp:lastPrinted>2017-05-02T08:30:00Z</cp:lastPrinted>
  <dcterms:created xsi:type="dcterms:W3CDTF">2017-05-10T12:16:00Z</dcterms:created>
  <dcterms:modified xsi:type="dcterms:W3CDTF">2017-05-10T12:16:00Z</dcterms:modified>
</cp:coreProperties>
</file>